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020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778"/>
        <w:gridCol w:w="374"/>
        <w:gridCol w:w="374"/>
        <w:gridCol w:w="372"/>
        <w:gridCol w:w="374"/>
        <w:gridCol w:w="372"/>
        <w:gridCol w:w="389"/>
        <w:gridCol w:w="346"/>
        <w:gridCol w:w="346"/>
        <w:gridCol w:w="346"/>
        <w:gridCol w:w="476"/>
      </w:tblGrid>
      <w:tr>
        <w:trPr>
          <w:cantSplit w:val="false"/>
          <w:trHeight w:val="269" w:hRule="atLeast"/>
          <w:tblHeader w:val="false"/>
          <w:jc w:val="left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bookmarkStart w:id="0" w:name="_GoBack"/>
            <w:bookmarkEnd w:id="0"/>
            <w:r>
              <w:rPr>
                <w:rFonts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Bank işi 2-ci kurs. İngilis dilində işgüzar və akademik kommunikasiya </w:t>
            </w:r>
          </w:p>
        </w:tc>
      </w:tr>
      <w:tr>
        <w:tblPrEx/>
        <w:trPr>
          <w:cantSplit w:val="false"/>
          <w:trHeight w:val="135" w:hRule="atLeast"/>
          <w:tblHeader w:val="false"/>
          <w:jc w:val="left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pStyle w:val="style0"/>
              <w:spacing w:lineRule="auto" w:line="240"/>
              <w:ind w:left="113" w:right="113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S/№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İmtahan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sualları</w:t>
            </w:r>
          </w:p>
        </w:tc>
        <w:tc>
          <w:tcPr>
            <w:tcW w:w="3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Fənnin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təlim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nəticələri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(FTN)</w:t>
            </w:r>
          </w:p>
        </w:tc>
      </w:tr>
      <w:tr>
        <w:tblPrEx/>
        <w:trPr>
          <w:cantSplit w:val="false"/>
          <w:trHeight w:val="436" w:hRule="atLeast"/>
          <w:tblHeader w:val="false"/>
          <w:jc w:val="left"/>
        </w:trPr>
        <w:tc>
          <w:tcPr>
            <w:tcW w:w="6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  <w:vAlign w:val="center"/>
          </w:tcPr>
          <w:p>
            <w:pPr>
              <w:pStyle w:val="style0"/>
              <w:spacing w:lineRule="auto" w:line="240"/>
              <w:ind w:left="113" w:right="113"/>
              <w:jc w:val="center"/>
              <w:rPr/>
            </w:pPr>
          </w:p>
        </w:tc>
        <w:tc>
          <w:tcPr>
            <w:tcW w:w="577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10</w:t>
            </w:r>
          </w:p>
        </w:tc>
      </w:tr>
      <w:tr>
        <w:tblPrEx/>
        <w:trPr>
          <w:cantSplit w:val="false"/>
          <w:trHeight w:val="156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myself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PASSIVE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VOICE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English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proverbs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verb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–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Khojali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Tragedy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437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宋体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>How</w:t>
            </w:r>
            <w:r>
              <w:rPr>
                <w:rFonts w:ascii="Times New Roman" w:cs="宋体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 xml:space="preserve"> </w:t>
            </w:r>
            <w:r>
              <w:rPr>
                <w:rFonts w:ascii="Times New Roman" w:cs="宋体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>do</w:t>
            </w:r>
            <w:r>
              <w:rPr>
                <w:rFonts w:ascii="Times New Roman" w:cs="宋体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 xml:space="preserve"> </w:t>
            </w:r>
            <w:r>
              <w:rPr>
                <w:rFonts w:ascii="Times New Roman" w:cs="宋体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>I</w:t>
            </w:r>
            <w:r>
              <w:rPr>
                <w:rFonts w:ascii="Times New Roman" w:cs="宋体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 xml:space="preserve"> </w:t>
            </w:r>
            <w:r>
              <w:rPr>
                <w:rFonts w:ascii="Times New Roman" w:cs="宋体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>learn</w:t>
            </w:r>
            <w:r>
              <w:rPr>
                <w:rFonts w:ascii="Times New Roman" w:cs="宋体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 xml:space="preserve"> </w:t>
            </w:r>
            <w:r>
              <w:rPr>
                <w:rFonts w:ascii="Times New Roman" w:cs="宋体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>Englısh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Verb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–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465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ind w:left="-113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What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is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bank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credit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Verb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–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make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232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ru-RU"/>
              </w:rPr>
              <w:t>My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ru-RU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ru-RU"/>
              </w:rPr>
              <w:t>aim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ru-RU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ru-RU"/>
              </w:rPr>
              <w:t>in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ru-RU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ru-RU"/>
              </w:rPr>
              <w:t>my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ru-RU"/>
              </w:rPr>
              <w:t xml:space="preserve"> </w:t>
            </w:r>
            <w:r>
              <w:rPr>
                <w:rFonts w:ascii="Times New Roman" w:cs="Times New Roman" w:eastAsia="MS Mincho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ru-RU"/>
              </w:rPr>
              <w:t>life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Understanding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bank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credit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hd w:val="clear" w:color="ffffff" w:fill="ffffff"/>
              <w:tabs>
                <w:tab w:val="left" w:leader="none" w:pos="2500"/>
              </w:tabs>
              <w:spacing w:lineRule="auto" w:line="240"/>
              <w:jc w:val="both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>The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>Verb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>–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>to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tr-TR" w:eastAsia="tr-TR"/>
              </w:rPr>
              <w:t>have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3260"/>
              </w:tabs>
              <w:spacing w:lineRule="auto" w:line="240"/>
              <w:ind w:left="-113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ru-RU"/>
              </w:rPr>
              <w:t>Azerbaijan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ru-RU"/>
              </w:rPr>
              <w:t>meals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keepNext/>
              <w:keepLines/>
              <w:shd w:val="clear" w:color="ffffff" w:fill="fcfcfc"/>
              <w:spacing w:lineRule="auto" w:line="240"/>
              <w:jc w:val="both"/>
              <w:outlineLvl w:val="1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participle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Terminology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banking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Gerund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My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days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off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verbs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–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must,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have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English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proverbs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Verb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–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can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Modal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verb-may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Dialogue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verbs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Should,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Ought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Good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education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good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citizens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Central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bank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Kinds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sentences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Brain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activities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Declarative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sentence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London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ind w:left="-113"/>
              <w:jc w:val="both"/>
              <w:rPr/>
            </w:pPr>
            <w:r>
              <w:rPr>
                <w:rFonts w:ascii="A3 Arial Rus" w:cs="Times New Roman" w:eastAsia="Times New Roman" w:hAnsi="A3 Arial Rus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en-US"/>
              </w:rPr>
              <w:t xml:space="preserve"> </w:t>
            </w:r>
            <w:r>
              <w:rPr>
                <w:rFonts w:ascii="A3 Arial Rus" w:cs="Times New Roman" w:eastAsia="Times New Roman" w:hAnsi="A3 Arial Rus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eastAsia="en-US"/>
              </w:rPr>
              <w:t>Antonyms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largest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bank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world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Types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of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bank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credit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Interrogative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sentences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monetary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policy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345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Imperative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sentences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tr-TR"/>
              </w:rPr>
              <w:t>Australia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Mass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宋体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media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355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Exclamatory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sentences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Books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our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eastAsia="en-US"/>
              </w:rPr>
              <w:t>life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Revolving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credit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Conjuction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Virtual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reality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>Olympic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>Games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Coordinating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conjuctions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Scotland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114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.AppleSystemUIFont" w:cs="Times New Roman" w:eastAsia="宋体" w:hAnsi=".AppleSystemUIFon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Charge</w:t>
            </w:r>
            <w:r>
              <w:rPr>
                <w:rFonts w:ascii=".AppleSystemUIFont" w:cs="Times New Roman" w:eastAsia="宋体" w:hAnsi=".AppleSystemUIFon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.AppleSystemUIFont" w:cs="Times New Roman" w:eastAsia="宋体" w:hAnsi=".AppleSystemUIFon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cards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Subordinating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Conjunctions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British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cuisine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plans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future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Installment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credit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Direct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speech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322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a1a1a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Table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a1a1a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a1a1a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en-US"/>
              </w:rPr>
              <w:t>manners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Choosing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career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Indirect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speech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351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Non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installment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service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credit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355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Rules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completing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sentences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359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future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profession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Bank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workers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495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>agreement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>subject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tr-TR" w:bidi="en-CA" w:eastAsia="en-CA"/>
              </w:rPr>
              <w:t>predicate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559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Synonyms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415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Short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answers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Salary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Paraphrasing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rules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80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Space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exploration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80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central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bank,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reserve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bank,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monetary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authority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institution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manages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currency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monetary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policy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country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monetary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union,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oversees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their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commercial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banking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system.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Khojaly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genocide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one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most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terrible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tragic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pages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Azerbaijan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history.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should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mentioned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Azerbaijan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endured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ethnic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cleansing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genocide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Armenian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nationalist-chauvinists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200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years.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people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Azerbaijan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deported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from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their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historical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lands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became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refugees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internally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displaced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persons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because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Armenian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occupation.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2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night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February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25-26,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Armenian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Armed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Forces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paramilitary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forces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help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366th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motorized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rifle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regiment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moved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together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capture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city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after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heavy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bombardment.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Totally,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result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attack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capture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city,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106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women,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63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children,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70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elderly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persons,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including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613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people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slaughtered.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tragedic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night,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487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residents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Khojaly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were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injured,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76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were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children.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families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were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killed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completely,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25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children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lost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both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parents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while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130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children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lost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one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their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parents.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543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hd w:val="clear" w:color="ffffff" w:fill="ffffff"/>
              <w:spacing w:lineRule="auto" w:line="240"/>
              <w:jc w:val="both"/>
              <w:outlineLvl w:val="3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Azerbaijani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cuisine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famous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fact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Azerbaijan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impossible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leave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table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hungry.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Not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only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tourists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also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locals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find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diversity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dishes,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fresh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vegetables,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fruits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alluring.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1082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hd w:val="clear" w:color="ffffff" w:fill="ffffff"/>
              <w:spacing w:before="100" w:beforeAutospacing="true" w:after="100" w:afterAutospacing="true" w:lineRule="auto" w:line="240"/>
              <w:jc w:val="both"/>
              <w:outlineLvl w:val="3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National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cuisine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offers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avariety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pilafs,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juicy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shish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kebab,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yarpag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dolmasi,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kutab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pies,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fish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dishes,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sweet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baklava,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shekerbura,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shor-gogal,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watermelon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olive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jams.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                                                                      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Azerbaijanis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also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enjoy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variety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soups,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piti,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sulu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khingal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toyuk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shorbasi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ayran.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64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hd w:val="clear" w:color="ffffff" w:fill="ffffff"/>
              <w:spacing w:before="100" w:beforeAutospacing="true" w:after="100" w:afterAutospacing="true" w:lineRule="auto" w:line="240"/>
              <w:jc w:val="both"/>
              <w:outlineLvl w:val="3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school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days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week,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have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two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days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—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Saturday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Sunday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During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week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very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busy,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like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have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rest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weekend.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                                                             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weather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fine,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usually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not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stay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home,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often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park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play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there.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After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dinner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visit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our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grandparents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relatives.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evenings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like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watch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video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music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programs.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Sometimes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something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special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weekends: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art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exhibition,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theatre,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concert.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64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hd w:val="clear" w:color="ffffff" w:fill="ffffff"/>
              <w:spacing w:before="100" w:beforeAutospacing="true" w:lineRule="auto" w:line="240"/>
              <w:jc w:val="both"/>
              <w:outlineLvl w:val="3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aimless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person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like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ship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lost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control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over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sea.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Aim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defined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strong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will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achieve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something.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Every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person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must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have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well-defined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objective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life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60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Every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person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set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goals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life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want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reach.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achieve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their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goal,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person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needs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work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hard,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aims/goals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help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person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attain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value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society.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person's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surroundings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inspire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aim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purpose.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London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capital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largest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city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England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United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Kingdom,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population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just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under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million.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stands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River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Thamesin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south-east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England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head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50-mile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(80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km)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estuary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down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North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Sea,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been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major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settlement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two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millennia.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London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exerts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strong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influence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arts,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entertainment,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fashion,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commerce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finance,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education,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health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care,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media,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science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technology,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tourism,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transport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communications.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Australia,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officially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Commonwealth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Australia,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sovereign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country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comprising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mainland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Australian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continent,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island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Tasmania,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numerous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smaller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islands.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area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7,617,930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square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kilometres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Australia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largest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country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area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Oceania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world's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sixth-largest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country.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Books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play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quintessential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role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every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student’s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life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introducing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world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imagination,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providing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knowledge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outside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world,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improving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their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reading,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writing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speaking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skills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well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boosting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memory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intelligence.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Scotland,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most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northerly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four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parts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United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Kingdom,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occupying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one-third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island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Great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Britain.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name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Scotland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derives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from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Latin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Scotia,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Scots,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Celtic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people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from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Ireland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who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settled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coast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Great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Britain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5th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century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CE.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name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Caledonia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often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been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applied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Scotland,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especially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poetry.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first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known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Olympics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held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summer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776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B.C.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Olympia,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site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southern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Greece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where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people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worship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their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gods.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fact,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Olympics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were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created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honor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ancient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Greece’s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most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famous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god: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Zeus,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gods.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Athletes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prayed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Zeus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victory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left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gifts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thank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him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their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successes.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British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cuisine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specific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set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cooking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traditions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practices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associated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United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Kingdom.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International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recognition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British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cuisine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historically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limited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full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breakfast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Christmas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dinner.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However,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Celtic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agriculture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animal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breeding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produced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wide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variety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foodstuffs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indigenous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Celts.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Education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very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good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role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good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citizen.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education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system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get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job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not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good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citizen.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Education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must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mode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creating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importance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how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implement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help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country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also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importance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making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good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citizen.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our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society,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mass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media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plays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crucial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role.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Mass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media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medium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brings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news,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entertainment,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cultural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educational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programs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millions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homes.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Mass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media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classified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two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categories: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Print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media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electronic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media.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Print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media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includes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journals,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newspapers,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magazines,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etc.,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electronic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media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consists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internet,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TV,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movies,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etc.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Atalar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sözünün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Azərbaycan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dilində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düzgün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tərcüməsini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yazın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Too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many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cooks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spoil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broth.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Atalar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sözünün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Azərbaycan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dilində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düzgün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tərcüməsini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yazın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:</w:t>
            </w:r>
            <w:r>
              <w:rPr>
                <w:rFonts w:ascii="Calibri" w:cs="Times New Roman" w:eastAsia="MS Mincho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Words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more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swords.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Atalar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sözünün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Azərbaycan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dilində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düzgün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tərcüməsini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yazın:</w:t>
            </w:r>
            <w:r>
              <w:rPr>
                <w:rFonts w:ascii="Calibri" w:cs="Times New Roman" w:eastAsia="MS Mincho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İn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country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blind,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one-eyed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man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king.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Atalar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sözünün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Azərbaycan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dilində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düzgün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tərcüməsini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yazın: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Better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lose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saddle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horse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Atalar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sözünün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Azərbaycan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dilində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düzgün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tərcüməsini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yazın: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Barking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dogs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never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bites.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Atalar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sözünün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Azərbaycan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dilində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düzgün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tərcüməsini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yazın: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you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sow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you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shall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mow.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az-Latn-AZ" w:eastAsia="en-US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339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Write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sentences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active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voice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(məlum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növə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aid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cümlə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yaz).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339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Write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sentences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passive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voice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(məchul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növə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aid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cümlə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yaz).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339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Write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sentences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Gerund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(gerunda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aid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cümlə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CA" w:bidi="en-CA" w:eastAsia="en-CA"/>
              </w:rPr>
              <w:t>yaz).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3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2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Write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sentences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must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verb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(must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feilinə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aid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cümlə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yaz)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4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Write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sentences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verb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(can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feilinə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aid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cümlə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yaz).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5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Write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sentences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verb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(may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feilinə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aid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cümlə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yaz).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282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6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before="2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proud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away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over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up/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full.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2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afraid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ready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/.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married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/.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like.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2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progress/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mistake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/.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effort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meal.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9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2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make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dinner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make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happy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make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decision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make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eastAsia="en-US"/>
              </w:rPr>
              <w:t>profit.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114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100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2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Economist,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support,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terrible,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result,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attack,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completely,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fluently,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impossible,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famous,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cuisine,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hungry,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gloomy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rainy,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employment,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childhood,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en-CA" w:eastAsia="en-CA"/>
              </w:rPr>
              <w:t>person.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979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101.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2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Financial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institution,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banking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institution,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education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system,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good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education,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central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bank,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reserve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bank,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commercial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banking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system,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brain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activities,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transport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communications,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culture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programs,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monetary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policy.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60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102.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2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Revolving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credit,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credit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card,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celtic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agriculture,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secondary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school,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space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exploration,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financial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accounting,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economic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analysis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60" w:hRule="atLeast"/>
          <w:tblHeader w:val="false"/>
          <w:jc w:val="left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103.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2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Translate: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Landscape,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island,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international,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introduce,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well-respected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person,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childhood,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membership,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responsible,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individual,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provide,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salary,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product,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playing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games,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exercising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regularly,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memory,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information,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az-Latn-AZ" w:bidi="en-CA" w:eastAsia="en-CA"/>
              </w:rPr>
              <w:t>creative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S Minch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3 Arial Ru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Times New Roman Az_l Norm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  <w:jc w:val="both"/>
    </w:pPr>
    <w:rPr>
      <w:rFonts w:ascii="Times New Roman" w:cs="Times New Roman" w:eastAsia="宋体" w:hAnsi="Times New Roman"/>
      <w:sz w:val="21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  <w:ind w:left="0" w:right="0"/>
      <w:jc w:val="left"/>
    </w:pPr>
    <w:rPr>
      <w:rFonts w:ascii="Times New Roman" w:cs="Times New Roman" w:eastAsia="Times New Roman" w:hAnsi="Times New Roman"/>
      <w:sz w:val="24"/>
      <w:szCs w:val="24"/>
      <w:lang w:val="ru-RU" w:eastAsia="ru-RU"/>
    </w:rPr>
  </w:style>
  <w:style w:type="paragraph" w:customStyle="1" w:styleId="style4097">
    <w:name w:val="&quot;font_8&quot;"/>
    <w:basedOn w:val="style0"/>
    <w:next w:val="style4097"/>
    <w:pPr>
      <w:spacing w:before="100" w:beforeAutospacing="true" w:after="100" w:afterAutospacing="true" w:lineRule="auto" w:line="240"/>
      <w:ind w:left="0" w:right="0"/>
      <w:jc w:val="left"/>
    </w:pPr>
    <w:rPr>
      <w:rFonts w:ascii="Times New Roman" w:cs="Times New Roman" w:eastAsia="宋体" w:hAnsi="Times New Roman"/>
      <w:sz w:val="24"/>
      <w:szCs w:val="24"/>
      <w:lang w:val="az-Latn-AZ" w:eastAsia="az-Latn-AZ"/>
    </w:rPr>
  </w:style>
  <w:style w:type="paragraph" w:customStyle="1" w:styleId="style4098">
    <w:name w:val="&quot;Default&quot;"/>
    <w:next w:val="style4098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eastAsia="宋体" w:hAnsi="Times New Roman"/>
      <w:color w:val="000000"/>
      <w:sz w:val="24"/>
      <w:szCs w:val="24"/>
    </w:rPr>
  </w:style>
  <w:style w:type="paragraph" w:customStyle="1" w:styleId="style4099">
    <w:name w:val="&quot;Table Paragraph&quot;"/>
    <w:basedOn w:val="style0"/>
    <w:next w:val="style4099"/>
    <w:qFormat/>
    <w:pPr>
      <w:widowControl w:val="false"/>
      <w:autoSpaceDE w:val="false"/>
      <w:autoSpaceDN w:val="false"/>
      <w:spacing w:before="0" w:after="0" w:lineRule="auto" w:line="240"/>
      <w:ind w:left="107" w:right="0"/>
      <w:jc w:val="left"/>
    </w:pPr>
    <w:rPr>
      <w:rFonts w:ascii="Times New Roman" w:cs="Times New Roman" w:eastAsia="Times New Roman" w:hAnsi="Times New Roman"/>
      <w:sz w:val="22"/>
      <w:szCs w:val="22"/>
    </w:rPr>
  </w:style>
  <w:style w:type="character" w:styleId="style87">
    <w:name w:val="Strong"/>
    <w:basedOn w:val="style65"/>
    <w:next w:val="style87"/>
    <w:qFormat/>
    <w:rPr>
      <w:rFonts w:ascii="Times New Roman" w:cs="Times New Roman" w:eastAsia="宋体" w:hAnsi="Times New Roman"/>
      <w:b/>
      <w:sz w:val="21"/>
    </w:rPr>
  </w:style>
  <w:style w:type="paragraph" w:customStyle="1" w:styleId="style4100">
    <w:name w:val="&quot;p1&quot;"/>
    <w:basedOn w:val="style0"/>
    <w:next w:val="style4100"/>
    <w:pPr>
      <w:spacing w:before="0" w:after="0" w:lineRule="auto" w:line="240"/>
      <w:ind w:left="0" w:right="0"/>
      <w:jc w:val="left"/>
    </w:pPr>
    <w:rPr>
      <w:rFonts w:ascii=".AppleSystemUIFont" w:cs=".AppleSystemUIFont" w:eastAsia="宋体" w:hAnsi=".AppleSystemUIFont"/>
      <w:sz w:val="26"/>
      <w:szCs w:val="26"/>
      <w:lang w:val="tr-TR" w:eastAsia="tr-TR"/>
    </w:rPr>
  </w:style>
  <w:style w:type="paragraph" w:styleId="style179">
    <w:name w:val="List Paragraph"/>
    <w:basedOn w:val="style0"/>
    <w:next w:val="style179"/>
    <w:qFormat/>
    <w:pPr>
      <w:spacing w:before="0" w:after="200" w:lineRule="auto" w:line="276"/>
      <w:ind w:left="720" w:right="0"/>
      <w:jc w:val="left"/>
    </w:pPr>
    <w:rPr>
      <w:rFonts w:ascii="Calibri" w:cs="Calibri" w:eastAsia="MS Mincho" w:hAnsi="Calibri"/>
      <w:sz w:val="22"/>
      <w:szCs w:val="22"/>
      <w:lang w:val="az-Latn-AZ"/>
    </w:rPr>
  </w:style>
  <w:style w:type="character" w:styleId="style85">
    <w:name w:val="Hyperlink"/>
    <w:basedOn w:val="style65"/>
    <w:next w:val="style85"/>
    <w:rPr>
      <w:rFonts w:ascii="Times New Roman" w:cs="Times New Roman" w:eastAsia="宋体" w:hAnsi="Times New Roman"/>
      <w:color w:val="56c7aa"/>
      <w:sz w:val="2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1599</Words>
  <Characters>7784</Characters>
  <Application>WPS Office</Application>
  <Paragraphs>1360</Paragraphs>
  <CharactersWithSpaces>9206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2024-09-19T09:44:27Z</dcterms:created>
  <dc:creator>LLY-LX1</dc:creator>
  <lastModifiedBy>LLY-LX1</lastModifiedBy>
  <dcterms:modified xsi:type="dcterms:W3CDTF">2024-09-19T09:44:27Z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2dce4c11d3b34568a81351f12377a89e</vt:lpwstr>
  </property>
</Properties>
</file>