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EE" w:rsidRDefault="00B721EE" w:rsidP="00B721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İxtisas: Bank  işi</w:t>
      </w:r>
    </w:p>
    <w:p w:rsidR="00B721EE" w:rsidRDefault="00B721EE" w:rsidP="00B721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Kurs:  III</w:t>
      </w:r>
    </w:p>
    <w:p w:rsidR="00B721EE" w:rsidRDefault="00B721EE" w:rsidP="00B721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Fənn: Bank əməliyyatları</w:t>
      </w:r>
    </w:p>
    <w:p w:rsidR="00B721EE" w:rsidRDefault="00B721EE" w:rsidP="00B721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Müəllim:    R.Rzayeva</w:t>
      </w:r>
    </w:p>
    <w:p w:rsidR="00B721EE" w:rsidRDefault="00B721EE" w:rsidP="00B721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0075"/>
      </w:tblGrid>
      <w:tr w:rsidR="00B721EE" w:rsidRPr="00270049" w:rsidTr="00AD6EC5">
        <w:trPr>
          <w:trHeight w:val="1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color w:val="000000" w:themeColor="text1"/>
                <w:sz w:val="20"/>
                <w:szCs w:val="20"/>
                <w:lang w:val="az-Latn-AZ"/>
              </w:rPr>
              <w:t>Bank əməliyyatları haqqında anlayış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color w:val="000000" w:themeColor="text1"/>
                <w:sz w:val="20"/>
                <w:szCs w:val="20"/>
                <w:lang w:val="az-Latn-AZ"/>
              </w:rPr>
              <w:t>Bank sistemi onun əsas xüsusiyyətləri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color w:val="000000" w:themeColor="text1"/>
                <w:sz w:val="20"/>
                <w:szCs w:val="20"/>
                <w:lang w:val="az-Latn-AZ"/>
              </w:rPr>
              <w:t>Bank siteminin əlamətləri</w:t>
            </w:r>
          </w:p>
        </w:tc>
      </w:tr>
      <w:tr w:rsidR="00B721EE" w:rsidRPr="00270049" w:rsidTr="00AD6EC5">
        <w:trPr>
          <w:trHeight w:val="22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Bank sisteminin xarakteristikası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Bank sisteminin inkişaf amilləri.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8A2E19" w:rsidRDefault="00B721EE" w:rsidP="00B721E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8A2E19">
              <w:rPr>
                <w:color w:val="000000" w:themeColor="text1"/>
                <w:sz w:val="20"/>
                <w:szCs w:val="20"/>
                <w:lang w:val="en-US"/>
              </w:rPr>
              <w:t>Bankların iqtisadiyyatdakı vəzifələri və rolu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8A2E19" w:rsidRDefault="00B721EE" w:rsidP="00B721EE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8A2E19">
              <w:rPr>
                <w:color w:val="000000" w:themeColor="text1"/>
                <w:sz w:val="20"/>
                <w:szCs w:val="20"/>
                <w:lang w:val="en-US"/>
              </w:rPr>
              <w:t>Bankların xüsusi kapitalının formalaşması qaydası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Qiymətli kağızların emissiyası</w:t>
            </w:r>
          </w:p>
        </w:tc>
      </w:tr>
      <w:tr w:rsidR="00B721EE" w:rsidRPr="00270049" w:rsidTr="00AD6EC5">
        <w:trPr>
          <w:trHeight w:val="26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Qiymətli kağızların emissiyası prosesi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Bank sertifikatlarının emissiyası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Bank veksellərinin emissiyası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8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Cəlb olunmuş vəsaitlər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color w:val="000000" w:themeColor="text1"/>
                <w:sz w:val="20"/>
                <w:szCs w:val="20"/>
                <w:lang w:val="az-Latn-AZ"/>
              </w:rPr>
              <w:t>Depozit və Əmanət sertifikatları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8A2E19" w:rsidRDefault="00B721EE" w:rsidP="00B721EE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8A2E19">
              <w:rPr>
                <w:color w:val="000000" w:themeColor="text1"/>
                <w:sz w:val="20"/>
                <w:szCs w:val="20"/>
                <w:lang w:val="en-US"/>
              </w:rPr>
              <w:t>Bankın mənfəəti passivlərin formalaşması kimi.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Aktiv əməliyyatların mahiyyəti.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color w:val="000000" w:themeColor="text1"/>
                <w:sz w:val="20"/>
                <w:szCs w:val="20"/>
                <w:lang w:val="az-Latn-AZ"/>
              </w:rPr>
              <w:t>Kreditin funksiyaları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color w:val="000000" w:themeColor="text1"/>
                <w:sz w:val="20"/>
                <w:szCs w:val="20"/>
                <w:lang w:val="az-Latn-AZ"/>
              </w:rPr>
              <w:t>Kreditləşmənin prinsipləri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Kreditləşmənin metodları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Kreditin formaları.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Kreditləşmənin formaları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Kreditin növləri</w:t>
            </w:r>
          </w:p>
        </w:tc>
      </w:tr>
      <w:tr w:rsidR="00B721EE" w:rsidRPr="00270049" w:rsidTr="00AD6EC5">
        <w:trPr>
          <w:trHeight w:val="30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Kreditləşmənin təşkili.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Kreditin məqsədi, müddəti, təminatı və ödənilməsi qaydası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Kredit müqaviləsinin hazırlanması, sənədləşdirilməsi və yerinə yetirilməsinə nəzarət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Pul hesablaşmalarının təşkili.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Nağd və nağdsız hesablaşma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Banklarda pul emisiyası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Banklarda nağd pul emissiyası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Nağdsız pul hesablaşmalarının mahiyyəti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Nağdsız emisiya prosesi.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270049">
              <w:rPr>
                <w:color w:val="000000" w:themeColor="text1"/>
                <w:sz w:val="20"/>
                <w:szCs w:val="20"/>
              </w:rPr>
              <w:t>Nağd pulların emissiyası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Nağdsız pul hesablaşmalarının aparılması şərtləri.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0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Nağdsız pul hesablaşmalarının formaları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Ödəniş tapşırıqları ilə hesablaşmalar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8A2E19" w:rsidRDefault="00B721EE" w:rsidP="00B721EE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8A2E19">
              <w:rPr>
                <w:color w:val="000000" w:themeColor="text1"/>
                <w:sz w:val="20"/>
                <w:szCs w:val="20"/>
                <w:lang w:val="en-US"/>
              </w:rPr>
              <w:t>Ödəniş tapşırıqlarında istifadə olunan rekvizitlər.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“A” formatlı ödəniş tapşırıqları ilə hesablaşmalar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color w:val="000000" w:themeColor="text1"/>
                <w:sz w:val="20"/>
                <w:szCs w:val="20"/>
                <w:lang w:val="az-Latn-AZ"/>
              </w:rPr>
              <w:t>“V” formatlı ödəniş tapşırıqları ilə hesablaşmalar</w:t>
            </w:r>
          </w:p>
        </w:tc>
      </w:tr>
      <w:tr w:rsidR="00B721EE" w:rsidRPr="00270049" w:rsidTr="00AD6EC5">
        <w:trPr>
          <w:trHeight w:val="29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cstheme="minorBidi"/>
                <w:sz w:val="20"/>
                <w:szCs w:val="20"/>
              </w:rPr>
            </w:pPr>
            <w:r w:rsidRPr="00270049">
              <w:rPr>
                <w:rFonts w:cstheme="minorBidi"/>
                <w:sz w:val="20"/>
                <w:szCs w:val="20"/>
              </w:rPr>
              <w:t>İnkasso sərəncamları  ilə hesablaşmalar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8A2E19" w:rsidRDefault="00B721EE" w:rsidP="00B721EE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cstheme="minorBidi"/>
                <w:sz w:val="20"/>
                <w:szCs w:val="20"/>
                <w:lang w:val="en-US"/>
              </w:rPr>
            </w:pPr>
            <w:r w:rsidRPr="008A2E19">
              <w:rPr>
                <w:rFonts w:cstheme="minorBidi"/>
                <w:sz w:val="20"/>
                <w:szCs w:val="20"/>
                <w:lang w:val="en-US"/>
              </w:rPr>
              <w:t>İnkasso sərəncamında əks olunan rekvizitlər</w:t>
            </w:r>
          </w:p>
        </w:tc>
      </w:tr>
      <w:tr w:rsidR="00B721EE" w:rsidRPr="00270049" w:rsidTr="00AD6EC5">
        <w:trPr>
          <w:trHeight w:val="27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cstheme="minorBidi"/>
                <w:sz w:val="20"/>
                <w:szCs w:val="20"/>
              </w:rPr>
            </w:pPr>
            <w:r w:rsidRPr="00270049">
              <w:rPr>
                <w:rFonts w:cstheme="minorBidi"/>
                <w:sz w:val="20"/>
                <w:szCs w:val="20"/>
              </w:rPr>
              <w:t>İnkasso sərənca</w:t>
            </w:r>
            <w:r w:rsidRPr="00270049">
              <w:rPr>
                <w:rFonts w:cstheme="minorBidi"/>
                <w:sz w:val="20"/>
                <w:szCs w:val="20"/>
                <w:lang w:val="en-US"/>
              </w:rPr>
              <w:t xml:space="preserve">mının </w:t>
            </w:r>
            <w:r w:rsidRPr="00270049">
              <w:rPr>
                <w:rFonts w:cstheme="minorBidi"/>
                <w:sz w:val="20"/>
                <w:szCs w:val="20"/>
              </w:rPr>
              <w:t xml:space="preserve"> nüsxələri </w:t>
            </w:r>
          </w:p>
        </w:tc>
      </w:tr>
      <w:tr w:rsidR="00B721EE" w:rsidRPr="00270049" w:rsidTr="00AD6EC5">
        <w:trPr>
          <w:trHeight w:val="26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0" w:hanging="1211"/>
              <w:contextualSpacing/>
              <w:jc w:val="both"/>
              <w:rPr>
                <w:rFonts w:cstheme="minorBidi"/>
                <w:sz w:val="20"/>
                <w:szCs w:val="20"/>
              </w:rPr>
            </w:pPr>
            <w:r w:rsidRPr="00270049">
              <w:rPr>
                <w:rFonts w:cstheme="minorBidi"/>
                <w:sz w:val="20"/>
                <w:szCs w:val="20"/>
              </w:rPr>
              <w:t>İnkasso üzrə hesablaşmalar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0049">
              <w:rPr>
                <w:rFonts w:ascii="Times New Roman" w:hAnsi="Times New Roman"/>
                <w:sz w:val="20"/>
                <w:szCs w:val="20"/>
              </w:rPr>
              <w:t>İnkasso tapşırığının və sənədlərin qəbulu və təqdim edilməsi qaydaları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sz w:val="20"/>
                <w:szCs w:val="20"/>
                <w:lang w:val="az-Latn-AZ"/>
              </w:rPr>
              <w:t>Akseptli qaydada həyata keçirilən ödəniş tapşırıqları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sz w:val="20"/>
                <w:szCs w:val="20"/>
              </w:rPr>
              <w:t>Akseptsiz qaydada həyata keçirilən ödəniş tapşırıqları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sz w:val="20"/>
                <w:szCs w:val="20"/>
                <w:lang w:val="az-Latn-AZ"/>
              </w:rPr>
              <w:t>Qismən ödəniş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cstheme="minorBidi"/>
                <w:sz w:val="20"/>
                <w:szCs w:val="20"/>
              </w:rPr>
            </w:pPr>
            <w:r w:rsidRPr="00270049">
              <w:rPr>
                <w:rFonts w:cstheme="minorBidi"/>
                <w:sz w:val="20"/>
                <w:szCs w:val="20"/>
              </w:rPr>
              <w:t>Akseptdən imtina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sz w:val="20"/>
                <w:szCs w:val="20"/>
                <w:lang w:val="az-Latn-AZ"/>
              </w:rPr>
              <w:t>Akkreditiv üzrə hesablaşmalar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sz w:val="20"/>
                <w:szCs w:val="20"/>
                <w:lang w:val="az-Latn-AZ"/>
              </w:rPr>
              <w:t>Ödənilmiş və ödənilməmiş akkreditiv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sz w:val="20"/>
                <w:szCs w:val="20"/>
                <w:lang w:val="az-Latn-AZ"/>
              </w:rPr>
              <w:t>Geri çağırma akkreditivi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sz w:val="20"/>
                <w:szCs w:val="20"/>
                <w:lang w:val="az-Latn-AZ"/>
              </w:rPr>
              <w:t>Geri çağırılmayan akkreditiv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sz w:val="20"/>
                <w:szCs w:val="20"/>
              </w:rPr>
              <w:t>Akkreditivin açılması və ötürülməsi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0" w:hanging="1245"/>
              <w:contextualSpacing/>
              <w:jc w:val="both"/>
              <w:rPr>
                <w:rFonts w:cstheme="minorBidi"/>
                <w:sz w:val="20"/>
                <w:szCs w:val="20"/>
              </w:rPr>
            </w:pPr>
            <w:r w:rsidRPr="00270049">
              <w:rPr>
                <w:rFonts w:cstheme="minorBidi"/>
                <w:sz w:val="20"/>
                <w:szCs w:val="20"/>
              </w:rPr>
              <w:t>Emitent bankın öhdəliyi.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cstheme="minorBidi"/>
                <w:sz w:val="20"/>
                <w:szCs w:val="20"/>
              </w:rPr>
            </w:pPr>
            <w:r w:rsidRPr="00270049">
              <w:rPr>
                <w:rFonts w:cstheme="minorBidi"/>
                <w:sz w:val="20"/>
                <w:szCs w:val="20"/>
              </w:rPr>
              <w:t>İcraçı  bankın öhdəliyi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sz w:val="20"/>
                <w:szCs w:val="20"/>
              </w:rPr>
              <w:t>Akkreditivin icrası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sz w:val="20"/>
                <w:szCs w:val="20"/>
                <w:lang w:val="az-Latn-AZ"/>
              </w:rPr>
              <w:t>Plastik kartlarla hesablaşmalar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cstheme="minorBidi"/>
                <w:sz w:val="20"/>
                <w:szCs w:val="20"/>
              </w:rPr>
            </w:pPr>
            <w:r w:rsidRPr="00270049">
              <w:rPr>
                <w:rFonts w:cstheme="minorBidi"/>
                <w:sz w:val="20"/>
                <w:szCs w:val="20"/>
              </w:rPr>
              <w:t xml:space="preserve">Şəxsi  və Kooperativ kartlar 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0"/>
              <w:contextualSpacing/>
              <w:jc w:val="both"/>
              <w:rPr>
                <w:rFonts w:cstheme="minorBidi"/>
                <w:sz w:val="20"/>
                <w:szCs w:val="20"/>
              </w:rPr>
            </w:pPr>
            <w:r w:rsidRPr="00270049">
              <w:rPr>
                <w:rFonts w:cstheme="minorBidi"/>
                <w:sz w:val="20"/>
                <w:szCs w:val="20"/>
              </w:rPr>
              <w:t>Maqnit  və Elektron kartlar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sz w:val="20"/>
                <w:szCs w:val="20"/>
                <w:lang w:val="az-Latn-AZ"/>
              </w:rPr>
              <w:t>Plastik kartların müsbət cəhətləri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sz w:val="20"/>
                <w:szCs w:val="20"/>
              </w:rPr>
              <w:t>Plastik kartların mənfi cəhətləri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az-Latn-AZ"/>
              </w:rPr>
            </w:pPr>
            <w:r w:rsidRPr="00270049">
              <w:rPr>
                <w:sz w:val="20"/>
                <w:szCs w:val="20"/>
                <w:lang w:val="az-Latn-AZ"/>
              </w:rPr>
              <w:t>Plastik kartların çatışmayan cəhətləri</w:t>
            </w:r>
          </w:p>
        </w:tc>
      </w:tr>
      <w:tr w:rsidR="00B721EE" w:rsidRPr="00270049" w:rsidTr="00AD6EC5">
        <w:trPr>
          <w:trHeight w:val="22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rFonts w:cstheme="minorBidi"/>
                <w:sz w:val="20"/>
                <w:szCs w:val="20"/>
                <w:lang w:val="az-Latn-AZ"/>
              </w:rPr>
            </w:pPr>
            <w:r w:rsidRPr="00270049">
              <w:rPr>
                <w:rFonts w:cstheme="minorBidi"/>
                <w:sz w:val="20"/>
                <w:szCs w:val="20"/>
              </w:rPr>
              <w:t>Plastik kartlarla hesablaşmaların növləri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pStyle w:val="ListParagraph"/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CA" w:eastAsia="en-CA" w:bidi="en-CA"/>
              </w:rPr>
            </w:pPr>
            <w:r w:rsidRPr="00270049">
              <w:rPr>
                <w:sz w:val="20"/>
                <w:szCs w:val="20"/>
                <w:lang w:val="az-Latn-AZ"/>
              </w:rPr>
              <w:t>Yol çekləri ilə hesablaşmalar anlayışı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EE" w:rsidRPr="00270049" w:rsidRDefault="00B721EE" w:rsidP="00AD6E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049">
              <w:rPr>
                <w:rFonts w:ascii="Times New Roman" w:hAnsi="Times New Roman"/>
                <w:sz w:val="20"/>
                <w:szCs w:val="20"/>
              </w:rPr>
              <w:t>Çeklərlə hesablaşmalar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Çeklərin formaları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Kassa əməliyyatları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Vasitəçilik əməliyyatlarının mahiyyəti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Lizinq əməliyyatlarının mahiyyəti.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Lizinqin funksiyaları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Lizinqverənlərin qrupları.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Öhdəliklərin əldə edilməsi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Maliyyə və Operativ lizinq.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Lizinq əməliyyatlarının iştirakçıları.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Lizinq əməliyyatlarının formaları.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Faktorinq əməliyyatları.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Trast əməliyyatlarının mahiyyəti.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Trast əməliyyatlarının iştirakçıları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Faktorinqin formaları.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Malgöndərənin faktorinqi.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Malalanın faktorinqi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Faktorinq əməliyyatlarının mərhələləri.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Faktorinq əməliyyatlarının formaları.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0049">
              <w:rPr>
                <w:sz w:val="20"/>
                <w:szCs w:val="20"/>
                <w:lang w:val="az-Latn-AZ"/>
              </w:rPr>
              <w:t>Ödəmələr riskinin səviyyəsinə görə faktorinqin formaları.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0049">
              <w:rPr>
                <w:sz w:val="20"/>
                <w:szCs w:val="20"/>
                <w:lang w:val="az-Latn-AZ"/>
              </w:rPr>
              <w:t>Reqress hüququ və Reqress hüququ olmadan faktorinq əməliyyatları.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Forfeytinq əməliyyatlarının mahiyyəti.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0049">
              <w:rPr>
                <w:sz w:val="20"/>
                <w:szCs w:val="20"/>
                <w:lang w:val="az-Latn-AZ"/>
              </w:rPr>
              <w:t>Forfeytinq  və Faktorinq əməliyyatlarının əsaslı fərqlər.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Trast əməliyyatlarının mahiyyəti.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Trast əməliyyatlarının iştirakçıları.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0049">
              <w:rPr>
                <w:sz w:val="20"/>
                <w:szCs w:val="20"/>
                <w:lang w:val="az-Latn-AZ"/>
              </w:rPr>
              <w:t>Trast əməliyyatlarının Etibarlı idarəedən iştirakçısı.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Trast əməliyyatlarının Benefsiar iştirakçısı.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Trast əməliyyatlarının növləri.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Trast əməliyyatlarının təşkil edilməsi.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B721EE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Beynəlxalq hesablaşmalar.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B721EE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270049">
              <w:rPr>
                <w:sz w:val="20"/>
                <w:szCs w:val="20"/>
                <w:lang w:val="az-Latn-AZ"/>
              </w:rPr>
              <w:t>Beynəlxalq hesablaşmalarda istifadə olunan ödəniş vasitələri.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Beynəlxalq hesablaşmaların əsas formaları.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270049">
              <w:rPr>
                <w:sz w:val="20"/>
                <w:szCs w:val="20"/>
                <w:lang w:val="az-Latn-AZ"/>
              </w:rPr>
              <w:t>Beynəlxalq hesablaşmaların Akkreditiv və Bank köçürmələri formaları.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270049">
              <w:rPr>
                <w:sz w:val="20"/>
                <w:szCs w:val="20"/>
                <w:lang w:val="az-Latn-AZ"/>
              </w:rPr>
              <w:t>Beynəlxalq hesablaşmaların Avans ödənişi və Açıq hesablar üzrə hesablaşmalar.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Valyuta əməliyyatlarının növləri.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Banklararsı valyuta bazarında əməliyyatlar.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270049">
              <w:rPr>
                <w:sz w:val="20"/>
                <w:szCs w:val="20"/>
                <w:lang w:val="az-Latn-AZ"/>
              </w:rPr>
              <w:t>Bankların qiymətli kağızlar bazarında əməliyyatları.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270049">
              <w:rPr>
                <w:sz w:val="20"/>
                <w:szCs w:val="20"/>
                <w:lang w:val="az-Latn-AZ"/>
              </w:rPr>
              <w:t>Bankların depozit və Əmanət qiymətli kağızları.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0049">
              <w:rPr>
                <w:sz w:val="20"/>
                <w:szCs w:val="20"/>
                <w:lang w:val="az-Latn-AZ"/>
              </w:rPr>
              <w:t>Kommersiya banklarında xidmətin təşkilinin mahiyyəti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270049">
              <w:rPr>
                <w:sz w:val="20"/>
                <w:szCs w:val="20"/>
                <w:lang w:val="az-Latn-AZ"/>
              </w:rPr>
              <w:t>Fiziki şəxslərə fərdi bank xidmətlərinin təşkili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Bankın şəxsi vəsaitləri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70049">
              <w:rPr>
                <w:sz w:val="20"/>
                <w:szCs w:val="20"/>
                <w:lang w:val="az-Latn-AZ"/>
              </w:rPr>
              <w:t>İnvestorların vəsaitləri</w:t>
            </w:r>
          </w:p>
        </w:tc>
      </w:tr>
      <w:tr w:rsidR="00B721EE" w:rsidRPr="0027004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270049">
              <w:rPr>
                <w:sz w:val="20"/>
                <w:szCs w:val="20"/>
                <w:lang w:val="az-Latn-AZ"/>
              </w:rPr>
              <w:t>Büdcə vəsaitləri və Bankın riski minimaldır.</w:t>
            </w:r>
          </w:p>
        </w:tc>
      </w:tr>
      <w:tr w:rsidR="00B721EE" w:rsidRPr="008A2E19" w:rsidTr="00AD6EC5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270049" w:rsidRDefault="00B721EE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049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EE" w:rsidRPr="008A2E19" w:rsidRDefault="00B721EE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270049">
              <w:rPr>
                <w:sz w:val="20"/>
                <w:szCs w:val="20"/>
                <w:lang w:val="az-Latn-AZ"/>
              </w:rPr>
              <w:t>Fərdi şəxslərə kredit verilməsi əməliyyatları</w:t>
            </w:r>
          </w:p>
        </w:tc>
      </w:tr>
    </w:tbl>
    <w:p w:rsidR="00B721EE" w:rsidRDefault="00B721EE" w:rsidP="00B721EE">
      <w:pPr>
        <w:spacing w:after="0" w:line="240" w:lineRule="auto"/>
        <w:rPr>
          <w:rFonts w:ascii="Times New Roman" w:hAnsi="Times New Roman" w:cs="Times New Roman"/>
        </w:rPr>
      </w:pPr>
    </w:p>
    <w:p w:rsidR="00B721EE" w:rsidRDefault="00B721EE" w:rsidP="00B721EE">
      <w:pPr>
        <w:spacing w:after="0" w:line="240" w:lineRule="auto"/>
        <w:rPr>
          <w:rFonts w:ascii="Times New Roman" w:hAnsi="Times New Roman" w:cs="Times New Roman"/>
        </w:rPr>
      </w:pPr>
    </w:p>
    <w:p w:rsidR="00B721EE" w:rsidRDefault="00B721EE" w:rsidP="00B721EE">
      <w:pPr>
        <w:spacing w:after="0" w:line="240" w:lineRule="auto"/>
        <w:rPr>
          <w:rFonts w:ascii="Times New Roman" w:hAnsi="Times New Roman" w:cs="Times New Roman"/>
        </w:rPr>
      </w:pPr>
    </w:p>
    <w:p w:rsidR="00B721EE" w:rsidRDefault="00B721EE" w:rsidP="00B721EE">
      <w:pPr>
        <w:spacing w:after="0" w:line="240" w:lineRule="auto"/>
        <w:rPr>
          <w:rFonts w:ascii="Times New Roman" w:hAnsi="Times New Roman" w:cs="Times New Roman"/>
        </w:rPr>
      </w:pPr>
    </w:p>
    <w:p w:rsidR="00B721EE" w:rsidRDefault="00B721EE" w:rsidP="00B721EE">
      <w:pPr>
        <w:spacing w:after="0" w:line="240" w:lineRule="auto"/>
        <w:rPr>
          <w:rFonts w:ascii="Times New Roman" w:hAnsi="Times New Roman" w:cs="Times New Roman"/>
        </w:rPr>
      </w:pPr>
    </w:p>
    <w:p w:rsidR="00B721EE" w:rsidRDefault="00B721EE" w:rsidP="00B721EE">
      <w:pPr>
        <w:spacing w:after="0" w:line="240" w:lineRule="auto"/>
        <w:rPr>
          <w:rFonts w:ascii="Times New Roman" w:hAnsi="Times New Roman" w:cs="Times New Roman"/>
        </w:rPr>
      </w:pPr>
    </w:p>
    <w:p w:rsidR="00C0384B" w:rsidRDefault="00C0384B">
      <w:bookmarkStart w:id="0" w:name="_GoBack"/>
      <w:bookmarkEnd w:id="0"/>
    </w:p>
    <w:sectPr w:rsidR="00C038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65F0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87944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F6852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01FF0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E7B71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F362A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81A0C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F4A95"/>
    <w:multiLevelType w:val="hybridMultilevel"/>
    <w:tmpl w:val="EB7ED65E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980F4C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4D6D02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25596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8A1559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711B5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45C39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77871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9222D3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D46B92"/>
    <w:multiLevelType w:val="hybridMultilevel"/>
    <w:tmpl w:val="E3B405FC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3"/>
  </w:num>
  <w:num w:numId="9">
    <w:abstractNumId w:val="10"/>
  </w:num>
  <w:num w:numId="10">
    <w:abstractNumId w:val="16"/>
  </w:num>
  <w:num w:numId="11">
    <w:abstractNumId w:val="13"/>
  </w:num>
  <w:num w:numId="12">
    <w:abstractNumId w:val="15"/>
  </w:num>
  <w:num w:numId="13">
    <w:abstractNumId w:val="5"/>
  </w:num>
  <w:num w:numId="14">
    <w:abstractNumId w:val="14"/>
  </w:num>
  <w:num w:numId="15">
    <w:abstractNumId w:val="6"/>
  </w:num>
  <w:num w:numId="16">
    <w:abstractNumId w:val="1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E"/>
    <w:rsid w:val="00B721EE"/>
    <w:rsid w:val="00C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B2B8-CED7-421A-BB38-D9A1C2A8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2024-09-19T05:13:00Z</dcterms:created>
  <dcterms:modified xsi:type="dcterms:W3CDTF">2024-09-19T05:13:00Z</dcterms:modified>
</cp:coreProperties>
</file>